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3429C" w14:textId="77777777" w:rsidR="009030E8" w:rsidRPr="00C63D9D" w:rsidRDefault="009030E8" w:rsidP="009030E8">
      <w:pPr>
        <w:tabs>
          <w:tab w:val="right" w:pos="8640"/>
        </w:tabs>
        <w:suppressAutoHyphens/>
        <w:spacing w:after="0" w:line="240" w:lineRule="auto"/>
        <w:jc w:val="center"/>
        <w:rPr>
          <w:rFonts w:asciiTheme="minorHAnsi" w:hAnsiTheme="minorHAnsi" w:cs="Calibri"/>
          <w:sz w:val="28"/>
          <w:szCs w:val="28"/>
        </w:rPr>
      </w:pPr>
      <w:r w:rsidRPr="00306BB9">
        <w:rPr>
          <w:noProof/>
        </w:rPr>
        <w:drawing>
          <wp:inline distT="0" distB="0" distL="0" distR="0" wp14:anchorId="084C9C33" wp14:editId="7E110486">
            <wp:extent cx="26003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771525"/>
                    </a:xfrm>
                    <a:prstGeom prst="rect">
                      <a:avLst/>
                    </a:prstGeom>
                    <a:noFill/>
                    <a:ln>
                      <a:noFill/>
                    </a:ln>
                  </pic:spPr>
                </pic:pic>
              </a:graphicData>
            </a:graphic>
          </wp:inline>
        </w:drawing>
      </w:r>
    </w:p>
    <w:p w14:paraId="0D6F4BD1" w14:textId="77777777" w:rsidR="009030E8" w:rsidRPr="009030E8" w:rsidRDefault="009030E8" w:rsidP="009030E8">
      <w:pPr>
        <w:spacing w:after="0" w:line="240" w:lineRule="auto"/>
        <w:jc w:val="center"/>
        <w:rPr>
          <w:rFonts w:asciiTheme="minorHAnsi" w:hAnsiTheme="minorHAnsi" w:cs="Calibri"/>
          <w:i/>
          <w:color w:val="000000" w:themeColor="text1"/>
          <w:sz w:val="20"/>
          <w:szCs w:val="20"/>
        </w:rPr>
      </w:pPr>
      <w:r w:rsidRPr="009030E8">
        <w:rPr>
          <w:rFonts w:asciiTheme="minorHAnsi" w:hAnsiTheme="minorHAnsi" w:cs="Calibri"/>
          <w:i/>
          <w:color w:val="000000" w:themeColor="text1"/>
          <w:sz w:val="20"/>
          <w:szCs w:val="20"/>
        </w:rPr>
        <w:t xml:space="preserve">We equip transformational leaders to make disciples </w:t>
      </w:r>
    </w:p>
    <w:p w14:paraId="01BC4F0C" w14:textId="77777777" w:rsidR="009030E8" w:rsidRPr="009030E8" w:rsidRDefault="009030E8" w:rsidP="009030E8">
      <w:pPr>
        <w:spacing w:after="0" w:line="240" w:lineRule="auto"/>
        <w:jc w:val="center"/>
        <w:rPr>
          <w:rFonts w:asciiTheme="minorHAnsi" w:hAnsiTheme="minorHAnsi" w:cs="Calibri"/>
          <w:i/>
          <w:color w:val="000000" w:themeColor="text1"/>
          <w:sz w:val="20"/>
          <w:szCs w:val="20"/>
        </w:rPr>
      </w:pPr>
      <w:proofErr w:type="gramStart"/>
      <w:r w:rsidRPr="009030E8">
        <w:rPr>
          <w:rFonts w:asciiTheme="minorHAnsi" w:hAnsiTheme="minorHAnsi" w:cs="Calibri"/>
          <w:i/>
          <w:color w:val="000000" w:themeColor="text1"/>
          <w:sz w:val="20"/>
          <w:szCs w:val="20"/>
        </w:rPr>
        <w:t>and</w:t>
      </w:r>
      <w:proofErr w:type="gramEnd"/>
      <w:r w:rsidRPr="009030E8">
        <w:rPr>
          <w:rFonts w:asciiTheme="minorHAnsi" w:hAnsiTheme="minorHAnsi" w:cs="Calibri"/>
          <w:i/>
          <w:color w:val="000000" w:themeColor="text1"/>
          <w:sz w:val="20"/>
          <w:szCs w:val="20"/>
        </w:rPr>
        <w:t xml:space="preserve"> grow vital congregations to transform the world.</w:t>
      </w:r>
    </w:p>
    <w:p w14:paraId="303122BA" w14:textId="77777777" w:rsidR="009030E8" w:rsidRDefault="009030E8" w:rsidP="009030E8">
      <w:pPr>
        <w:spacing w:after="0" w:line="240" w:lineRule="auto"/>
        <w:rPr>
          <w:rFonts w:asciiTheme="minorHAnsi" w:hAnsiTheme="minorHAnsi" w:cs="Calibri"/>
          <w:i/>
          <w:color w:val="244061"/>
          <w:sz w:val="20"/>
          <w:szCs w:val="20"/>
        </w:rPr>
      </w:pPr>
    </w:p>
    <w:p w14:paraId="680E0938" w14:textId="77777777" w:rsidR="009030E8" w:rsidRPr="009030E8" w:rsidRDefault="009030E8" w:rsidP="009030E8">
      <w:pPr>
        <w:tabs>
          <w:tab w:val="right" w:pos="8640"/>
        </w:tabs>
        <w:suppressAutoHyphens/>
        <w:spacing w:after="0" w:line="240" w:lineRule="auto"/>
        <w:jc w:val="center"/>
        <w:rPr>
          <w:rFonts w:asciiTheme="minorHAnsi" w:hAnsiTheme="minorHAnsi" w:cs="Calibri"/>
          <w:b/>
          <w:color w:val="244061"/>
          <w:sz w:val="28"/>
          <w:szCs w:val="28"/>
        </w:rPr>
      </w:pPr>
      <w:r w:rsidRPr="009030E8">
        <w:rPr>
          <w:rFonts w:asciiTheme="minorHAnsi" w:hAnsiTheme="minorHAnsi" w:cs="Calibri"/>
          <w:b/>
          <w:color w:val="244061"/>
          <w:sz w:val="28"/>
          <w:szCs w:val="28"/>
        </w:rPr>
        <w:t>2016 Agency Goals Worksheet</w:t>
      </w:r>
    </w:p>
    <w:p w14:paraId="7D849D67" w14:textId="77777777" w:rsidR="009030E8" w:rsidRDefault="009030E8" w:rsidP="00FF4D81">
      <w:pPr>
        <w:tabs>
          <w:tab w:val="right" w:pos="8640"/>
        </w:tabs>
        <w:suppressAutoHyphens/>
        <w:spacing w:after="0" w:line="240" w:lineRule="auto"/>
        <w:jc w:val="center"/>
        <w:rPr>
          <w:rFonts w:cs="Calibri"/>
          <w:sz w:val="20"/>
          <w:szCs w:val="20"/>
        </w:rPr>
      </w:pPr>
    </w:p>
    <w:p w14:paraId="6CD06354" w14:textId="078FA5BE" w:rsidR="00C768EB" w:rsidRPr="00FF4D81" w:rsidRDefault="00C768EB" w:rsidP="00FF4D81">
      <w:pPr>
        <w:tabs>
          <w:tab w:val="right" w:pos="8640"/>
        </w:tabs>
        <w:suppressAutoHyphens/>
        <w:spacing w:after="0" w:line="240" w:lineRule="auto"/>
        <w:jc w:val="center"/>
        <w:rPr>
          <w:rFonts w:cs="Calibri"/>
          <w:b/>
          <w:color w:val="1F3864" w:themeColor="accent5" w:themeShade="80"/>
          <w:sz w:val="20"/>
          <w:szCs w:val="20"/>
        </w:rPr>
      </w:pPr>
      <w:r w:rsidRPr="00FF4D81">
        <w:rPr>
          <w:rFonts w:cs="Calibri"/>
          <w:b/>
          <w:color w:val="1F3864" w:themeColor="accent5" w:themeShade="80"/>
          <w:sz w:val="20"/>
          <w:szCs w:val="20"/>
        </w:rPr>
        <w:t>Why is it important for GNJ agencies to set goals each year?</w:t>
      </w:r>
    </w:p>
    <w:p w14:paraId="117F83AE" w14:textId="77777777" w:rsidR="00C768EB" w:rsidRPr="00FF4D81" w:rsidRDefault="00C768EB" w:rsidP="00C768EB">
      <w:pPr>
        <w:spacing w:after="160" w:line="259" w:lineRule="auto"/>
        <w:rPr>
          <w:sz w:val="20"/>
          <w:szCs w:val="20"/>
        </w:rPr>
      </w:pPr>
      <w:r w:rsidRPr="00FF4D81">
        <w:rPr>
          <w:sz w:val="20"/>
          <w:szCs w:val="20"/>
        </w:rPr>
        <w:t xml:space="preserve">Agencies play an important role in helping move forward our mission and strategic plan. Setting goals each year brings focus and provides clarity on what to work and plan for. As goals are set and shared with other agencies, more clarity and alignment is achieved, new opportunities for collaboration arise and we make better use of the resources available to fulfill our mission.    </w:t>
      </w:r>
    </w:p>
    <w:p w14:paraId="6397867B" w14:textId="77777777" w:rsidR="009030E8" w:rsidRPr="00FF4D81" w:rsidRDefault="009030E8" w:rsidP="009030E8">
      <w:pPr>
        <w:tabs>
          <w:tab w:val="right" w:pos="8640"/>
        </w:tabs>
        <w:suppressAutoHyphens/>
        <w:spacing w:after="0" w:line="240" w:lineRule="auto"/>
        <w:jc w:val="center"/>
        <w:rPr>
          <w:rFonts w:cs="Calibri"/>
          <w:b/>
          <w:color w:val="1F3864" w:themeColor="accent5" w:themeShade="80"/>
          <w:sz w:val="20"/>
          <w:szCs w:val="20"/>
        </w:rPr>
      </w:pPr>
      <w:r w:rsidRPr="00FF4D81">
        <w:rPr>
          <w:rFonts w:cs="Calibri"/>
          <w:b/>
          <w:color w:val="1F3864" w:themeColor="accent5" w:themeShade="80"/>
          <w:sz w:val="20"/>
          <w:szCs w:val="20"/>
        </w:rPr>
        <w:t>Vision</w:t>
      </w:r>
    </w:p>
    <w:p w14:paraId="5F91C437" w14:textId="68D0E484" w:rsidR="009030E8" w:rsidRPr="00FF4D81" w:rsidRDefault="009030E8" w:rsidP="009030E8">
      <w:pPr>
        <w:tabs>
          <w:tab w:val="right" w:pos="8640"/>
        </w:tabs>
        <w:suppressAutoHyphens/>
        <w:spacing w:after="0" w:line="240" w:lineRule="auto"/>
        <w:rPr>
          <w:rFonts w:cs="Calibri"/>
          <w:sz w:val="20"/>
          <w:szCs w:val="20"/>
        </w:rPr>
      </w:pPr>
      <w:r w:rsidRPr="00FF4D81">
        <w:rPr>
          <w:rFonts w:cs="Calibri"/>
          <w:sz w:val="20"/>
          <w:szCs w:val="20"/>
        </w:rPr>
        <w:t xml:space="preserve">We see a church like Jesus Christ – radical spirit and humble, teaching and healing, soul saving and soul tending, leader and servant, unbound and outbound. </w:t>
      </w:r>
      <w:r w:rsidR="0089056C" w:rsidRPr="00FF4D81">
        <w:rPr>
          <w:rFonts w:cs="Calibri"/>
          <w:sz w:val="20"/>
          <w:szCs w:val="20"/>
        </w:rPr>
        <w:t>W</w:t>
      </w:r>
      <w:r w:rsidRPr="00FF4D81">
        <w:rPr>
          <w:rFonts w:cs="Calibri"/>
          <w:sz w:val="20"/>
          <w:szCs w:val="20"/>
        </w:rPr>
        <w:t xml:space="preserve">e also see a Wesleyan Church – personal holiness and social holiness, connectional and risk taking, thoughtful and inspirational, small groups and large vision, welcoming all and respect for diversity of thought. </w:t>
      </w:r>
    </w:p>
    <w:p w14:paraId="4838DC6C" w14:textId="77777777" w:rsidR="009030E8" w:rsidRPr="00FF4D81" w:rsidRDefault="009030E8" w:rsidP="009030E8">
      <w:pPr>
        <w:tabs>
          <w:tab w:val="right" w:pos="8640"/>
        </w:tabs>
        <w:suppressAutoHyphens/>
        <w:spacing w:after="0" w:line="240" w:lineRule="auto"/>
        <w:jc w:val="center"/>
        <w:rPr>
          <w:rFonts w:cs="Calibri"/>
          <w:b/>
          <w:color w:val="1F3864" w:themeColor="accent5" w:themeShade="80"/>
          <w:sz w:val="20"/>
          <w:szCs w:val="20"/>
        </w:rPr>
      </w:pPr>
      <w:r w:rsidRPr="00FF4D81">
        <w:rPr>
          <w:rFonts w:cs="Calibri"/>
          <w:b/>
          <w:color w:val="1F3864" w:themeColor="accent5" w:themeShade="80"/>
          <w:sz w:val="20"/>
          <w:szCs w:val="20"/>
        </w:rPr>
        <w:t>Mission</w:t>
      </w:r>
    </w:p>
    <w:p w14:paraId="486CFA2B" w14:textId="77777777" w:rsidR="009030E8" w:rsidRPr="00FF4D81" w:rsidRDefault="009030E8" w:rsidP="009030E8">
      <w:pPr>
        <w:tabs>
          <w:tab w:val="right" w:pos="8640"/>
        </w:tabs>
        <w:suppressAutoHyphens/>
        <w:spacing w:after="0" w:line="240" w:lineRule="auto"/>
        <w:jc w:val="center"/>
        <w:rPr>
          <w:rFonts w:cs="Calibri"/>
          <w:sz w:val="20"/>
          <w:szCs w:val="20"/>
        </w:rPr>
      </w:pPr>
      <w:bookmarkStart w:id="0" w:name="_GoBack"/>
      <w:r w:rsidRPr="00FF4D81">
        <w:rPr>
          <w:rFonts w:cs="Calibri"/>
          <w:sz w:val="20"/>
          <w:szCs w:val="20"/>
        </w:rPr>
        <w:t>Equip transformational leaders to make disciples and grow vital congregations to transform the world.</w:t>
      </w:r>
    </w:p>
    <w:bookmarkEnd w:id="0"/>
    <w:p w14:paraId="2731205C" w14:textId="77777777" w:rsidR="009030E8" w:rsidRPr="00FF4D81" w:rsidRDefault="009030E8" w:rsidP="009030E8">
      <w:pPr>
        <w:tabs>
          <w:tab w:val="right" w:pos="8640"/>
        </w:tabs>
        <w:suppressAutoHyphens/>
        <w:spacing w:after="0" w:line="240" w:lineRule="auto"/>
        <w:jc w:val="center"/>
        <w:rPr>
          <w:rFonts w:cs="Calibri"/>
          <w:sz w:val="20"/>
          <w:szCs w:val="20"/>
        </w:rPr>
      </w:pPr>
    </w:p>
    <w:p w14:paraId="22B32AC3" w14:textId="77777777" w:rsidR="009030E8" w:rsidRPr="00FF4D81" w:rsidRDefault="009030E8" w:rsidP="009030E8">
      <w:pPr>
        <w:tabs>
          <w:tab w:val="right" w:pos="8640"/>
        </w:tabs>
        <w:suppressAutoHyphens/>
        <w:spacing w:after="0" w:line="240" w:lineRule="auto"/>
        <w:jc w:val="center"/>
        <w:rPr>
          <w:rFonts w:cs="Calibri"/>
          <w:b/>
          <w:color w:val="1F3864" w:themeColor="accent5" w:themeShade="80"/>
          <w:sz w:val="20"/>
          <w:szCs w:val="20"/>
        </w:rPr>
      </w:pPr>
      <w:r w:rsidRPr="00FF4D81">
        <w:rPr>
          <w:rFonts w:cs="Calibri"/>
          <w:b/>
          <w:color w:val="1F3864" w:themeColor="accent5" w:themeShade="80"/>
          <w:sz w:val="20"/>
          <w:szCs w:val="20"/>
        </w:rPr>
        <w:t>2018 Goal</w:t>
      </w:r>
    </w:p>
    <w:p w14:paraId="4E7C3D4D" w14:textId="77777777" w:rsidR="009030E8" w:rsidRPr="00FF4D81" w:rsidRDefault="009030E8" w:rsidP="009030E8">
      <w:pPr>
        <w:tabs>
          <w:tab w:val="right" w:pos="8640"/>
        </w:tabs>
        <w:suppressAutoHyphens/>
        <w:spacing w:after="0" w:line="240" w:lineRule="auto"/>
        <w:jc w:val="center"/>
        <w:rPr>
          <w:rFonts w:cs="Calibri"/>
          <w:sz w:val="20"/>
          <w:szCs w:val="20"/>
        </w:rPr>
      </w:pPr>
      <w:r w:rsidRPr="00FF4D81">
        <w:rPr>
          <w:rFonts w:cs="Calibri"/>
          <w:sz w:val="20"/>
          <w:szCs w:val="20"/>
        </w:rPr>
        <w:t>Increase the number of highly vital congregations from 14% to 41%</w:t>
      </w:r>
    </w:p>
    <w:p w14:paraId="0F48913C" w14:textId="77777777" w:rsidR="009030E8" w:rsidRPr="00FF4D81" w:rsidRDefault="009030E8" w:rsidP="009030E8">
      <w:pPr>
        <w:tabs>
          <w:tab w:val="right" w:pos="8640"/>
        </w:tabs>
        <w:suppressAutoHyphens/>
        <w:spacing w:after="0" w:line="240" w:lineRule="auto"/>
        <w:jc w:val="center"/>
        <w:rPr>
          <w:rFonts w:cs="Calibri"/>
          <w:sz w:val="20"/>
          <w:szCs w:val="20"/>
        </w:rPr>
      </w:pPr>
    </w:p>
    <w:p w14:paraId="6F2B13BC" w14:textId="77777777" w:rsidR="009030E8" w:rsidRPr="00FF4D81" w:rsidRDefault="009030E8" w:rsidP="009030E8">
      <w:pPr>
        <w:tabs>
          <w:tab w:val="right" w:pos="8640"/>
        </w:tabs>
        <w:suppressAutoHyphens/>
        <w:spacing w:after="0" w:line="240" w:lineRule="auto"/>
        <w:jc w:val="center"/>
        <w:rPr>
          <w:rFonts w:cs="Calibri"/>
          <w:b/>
          <w:color w:val="1F3864" w:themeColor="accent5" w:themeShade="80"/>
          <w:sz w:val="20"/>
          <w:szCs w:val="20"/>
        </w:rPr>
      </w:pPr>
      <w:r w:rsidRPr="00FF4D81">
        <w:rPr>
          <w:rFonts w:cs="Calibri"/>
          <w:b/>
          <w:color w:val="1F3864" w:themeColor="accent5" w:themeShade="80"/>
          <w:sz w:val="20"/>
          <w:szCs w:val="20"/>
        </w:rPr>
        <w:t>GNJ Strategy</w:t>
      </w:r>
    </w:p>
    <w:p w14:paraId="62A0F7A0" w14:textId="77777777" w:rsidR="009030E8" w:rsidRPr="00FF4D81" w:rsidRDefault="009030E8" w:rsidP="009030E8">
      <w:pPr>
        <w:tabs>
          <w:tab w:val="right" w:pos="8640"/>
        </w:tabs>
        <w:suppressAutoHyphens/>
        <w:spacing w:after="0" w:line="240" w:lineRule="auto"/>
        <w:jc w:val="center"/>
        <w:rPr>
          <w:rFonts w:cs="Calibri"/>
          <w:sz w:val="20"/>
          <w:szCs w:val="20"/>
        </w:rPr>
      </w:pPr>
      <w:r w:rsidRPr="00FF4D81">
        <w:rPr>
          <w:rFonts w:cs="Calibri"/>
          <w:sz w:val="20"/>
          <w:szCs w:val="20"/>
        </w:rPr>
        <w:t>Call, equip, send and support transformational leaders and resource congregations to assess their ministry and establish a path to vitality.</w:t>
      </w:r>
    </w:p>
    <w:p w14:paraId="5448975B" w14:textId="77777777" w:rsidR="009030E8" w:rsidRPr="00FF4D81" w:rsidRDefault="009030E8" w:rsidP="009030E8">
      <w:pPr>
        <w:tabs>
          <w:tab w:val="right" w:pos="8640"/>
        </w:tabs>
        <w:suppressAutoHyphens/>
        <w:spacing w:after="0" w:line="240" w:lineRule="auto"/>
        <w:rPr>
          <w:rFonts w:cs="Calibri"/>
          <w:sz w:val="20"/>
          <w:szCs w:val="20"/>
        </w:rPr>
      </w:pPr>
    </w:p>
    <w:p w14:paraId="50707B90" w14:textId="77777777" w:rsidR="009030E8" w:rsidRPr="00FF4D81" w:rsidRDefault="009030E8" w:rsidP="009030E8">
      <w:pPr>
        <w:tabs>
          <w:tab w:val="right" w:pos="8640"/>
        </w:tabs>
        <w:suppressAutoHyphens/>
        <w:spacing w:after="0" w:line="240" w:lineRule="auto"/>
        <w:jc w:val="center"/>
        <w:rPr>
          <w:rFonts w:cs="Calibri"/>
          <w:b/>
          <w:color w:val="1F3864" w:themeColor="accent5" w:themeShade="80"/>
          <w:sz w:val="20"/>
          <w:szCs w:val="20"/>
        </w:rPr>
      </w:pPr>
      <w:r w:rsidRPr="00FF4D81">
        <w:rPr>
          <w:rFonts w:cs="Calibri"/>
          <w:b/>
          <w:color w:val="1F3864" w:themeColor="accent5" w:themeShade="80"/>
          <w:sz w:val="20"/>
          <w:szCs w:val="20"/>
        </w:rPr>
        <w:t>2018 Objectives</w:t>
      </w:r>
    </w:p>
    <w:p w14:paraId="06411537" w14:textId="77777777" w:rsidR="009030E8" w:rsidRPr="00FF4D81" w:rsidRDefault="009030E8" w:rsidP="009030E8">
      <w:pPr>
        <w:pStyle w:val="ListParagraph"/>
        <w:numPr>
          <w:ilvl w:val="0"/>
          <w:numId w:val="1"/>
        </w:numPr>
        <w:tabs>
          <w:tab w:val="right" w:pos="8640"/>
        </w:tabs>
        <w:suppressAutoHyphens/>
        <w:spacing w:after="0" w:line="240" w:lineRule="auto"/>
        <w:rPr>
          <w:rFonts w:cs="Calibri"/>
          <w:b/>
          <w:sz w:val="20"/>
          <w:szCs w:val="20"/>
        </w:rPr>
      </w:pPr>
      <w:r w:rsidRPr="00FF4D81">
        <w:rPr>
          <w:rFonts w:cs="Calibri"/>
          <w:sz w:val="20"/>
          <w:szCs w:val="20"/>
        </w:rPr>
        <w:t>Increase the percentage of churches growing in worship attendance from 33% to 51%</w:t>
      </w:r>
    </w:p>
    <w:p w14:paraId="09D7808D" w14:textId="77777777" w:rsidR="009030E8" w:rsidRPr="00FF4D81" w:rsidRDefault="009030E8" w:rsidP="009030E8">
      <w:pPr>
        <w:pStyle w:val="ListParagraph"/>
        <w:numPr>
          <w:ilvl w:val="0"/>
          <w:numId w:val="1"/>
        </w:numPr>
        <w:tabs>
          <w:tab w:val="right" w:pos="8640"/>
        </w:tabs>
        <w:suppressAutoHyphens/>
        <w:spacing w:after="0" w:line="240" w:lineRule="auto"/>
        <w:rPr>
          <w:rFonts w:cs="Calibri"/>
          <w:b/>
          <w:sz w:val="20"/>
          <w:szCs w:val="20"/>
        </w:rPr>
      </w:pPr>
      <w:r w:rsidRPr="00FF4D81">
        <w:rPr>
          <w:rFonts w:cs="Calibri"/>
          <w:sz w:val="20"/>
          <w:szCs w:val="20"/>
        </w:rPr>
        <w:t>Start 90 new faith communities</w:t>
      </w:r>
    </w:p>
    <w:p w14:paraId="2B6B6316" w14:textId="77777777" w:rsidR="009030E8" w:rsidRPr="00FF4D81" w:rsidRDefault="009030E8" w:rsidP="009030E8">
      <w:pPr>
        <w:pStyle w:val="ListParagraph"/>
        <w:numPr>
          <w:ilvl w:val="0"/>
          <w:numId w:val="1"/>
        </w:numPr>
        <w:tabs>
          <w:tab w:val="right" w:pos="8640"/>
        </w:tabs>
        <w:suppressAutoHyphens/>
        <w:spacing w:after="0" w:line="240" w:lineRule="auto"/>
        <w:rPr>
          <w:rFonts w:cs="Calibri"/>
          <w:b/>
          <w:sz w:val="20"/>
          <w:szCs w:val="20"/>
        </w:rPr>
      </w:pPr>
      <w:r w:rsidRPr="00FF4D81">
        <w:rPr>
          <w:rFonts w:cs="Calibri"/>
          <w:sz w:val="20"/>
          <w:szCs w:val="20"/>
        </w:rPr>
        <w:t>Decrease the number of worshipers it takes to make a new profession of faith from 17 to 15</w:t>
      </w:r>
    </w:p>
    <w:p w14:paraId="51C50FDE" w14:textId="77777777" w:rsidR="009030E8" w:rsidRPr="00FF4D81" w:rsidRDefault="009030E8" w:rsidP="009030E8">
      <w:pPr>
        <w:pStyle w:val="ListParagraph"/>
        <w:numPr>
          <w:ilvl w:val="0"/>
          <w:numId w:val="1"/>
        </w:numPr>
        <w:tabs>
          <w:tab w:val="right" w:pos="8640"/>
        </w:tabs>
        <w:suppressAutoHyphens/>
        <w:spacing w:after="0" w:line="240" w:lineRule="auto"/>
        <w:rPr>
          <w:rFonts w:cs="Calibri"/>
          <w:b/>
          <w:sz w:val="20"/>
          <w:szCs w:val="20"/>
        </w:rPr>
      </w:pPr>
      <w:r w:rsidRPr="00FF4D81">
        <w:rPr>
          <w:rFonts w:cs="Calibri"/>
          <w:sz w:val="20"/>
          <w:szCs w:val="20"/>
        </w:rPr>
        <w:t>Increase the percentage of worshipers in small groups from 43% to 75%</w:t>
      </w:r>
    </w:p>
    <w:p w14:paraId="0FFE9F6D" w14:textId="77777777" w:rsidR="009030E8" w:rsidRPr="00FF4D81" w:rsidRDefault="009030E8" w:rsidP="009030E8">
      <w:pPr>
        <w:pStyle w:val="ListParagraph"/>
        <w:numPr>
          <w:ilvl w:val="0"/>
          <w:numId w:val="1"/>
        </w:numPr>
        <w:tabs>
          <w:tab w:val="right" w:pos="8640"/>
        </w:tabs>
        <w:suppressAutoHyphens/>
        <w:spacing w:after="0" w:line="240" w:lineRule="auto"/>
        <w:rPr>
          <w:rFonts w:cs="Calibri"/>
          <w:b/>
          <w:sz w:val="20"/>
          <w:szCs w:val="20"/>
        </w:rPr>
      </w:pPr>
      <w:r w:rsidRPr="00FF4D81">
        <w:rPr>
          <w:rFonts w:cs="Calibri"/>
          <w:sz w:val="20"/>
          <w:szCs w:val="20"/>
        </w:rPr>
        <w:t>Increase the number of young adults in small groups from 2820 to 3200</w:t>
      </w:r>
    </w:p>
    <w:p w14:paraId="3636E207" w14:textId="77777777" w:rsidR="009030E8" w:rsidRPr="00FF4D81" w:rsidRDefault="009030E8" w:rsidP="009030E8">
      <w:pPr>
        <w:pStyle w:val="ListParagraph"/>
        <w:numPr>
          <w:ilvl w:val="0"/>
          <w:numId w:val="1"/>
        </w:numPr>
        <w:tabs>
          <w:tab w:val="right" w:pos="8640"/>
        </w:tabs>
        <w:suppressAutoHyphens/>
        <w:spacing w:after="0" w:line="240" w:lineRule="auto"/>
        <w:rPr>
          <w:rFonts w:cs="Calibri"/>
          <w:b/>
          <w:sz w:val="20"/>
          <w:szCs w:val="20"/>
        </w:rPr>
      </w:pPr>
      <w:r w:rsidRPr="00FF4D81">
        <w:rPr>
          <w:rFonts w:cs="Calibri"/>
          <w:sz w:val="20"/>
          <w:szCs w:val="20"/>
        </w:rPr>
        <w:t>Increase our racial ethnic worshipers from 20% to 25%</w:t>
      </w:r>
    </w:p>
    <w:p w14:paraId="728A00AE" w14:textId="77777777" w:rsidR="009030E8" w:rsidRPr="00FF4D81" w:rsidRDefault="009030E8" w:rsidP="009030E8">
      <w:pPr>
        <w:pStyle w:val="ListParagraph"/>
        <w:numPr>
          <w:ilvl w:val="0"/>
          <w:numId w:val="1"/>
        </w:numPr>
        <w:tabs>
          <w:tab w:val="right" w:pos="8640"/>
        </w:tabs>
        <w:suppressAutoHyphens/>
        <w:spacing w:after="0" w:line="240" w:lineRule="auto"/>
        <w:rPr>
          <w:rFonts w:cs="Calibri"/>
          <w:b/>
          <w:sz w:val="20"/>
          <w:szCs w:val="20"/>
        </w:rPr>
      </w:pPr>
      <w:r w:rsidRPr="00FF4D81">
        <w:rPr>
          <w:rFonts w:cs="Calibri"/>
          <w:sz w:val="20"/>
          <w:szCs w:val="20"/>
        </w:rPr>
        <w:t>Increase the percentage of worshipers engaged in mission from 8% to 40%</w:t>
      </w:r>
    </w:p>
    <w:p w14:paraId="334900C2" w14:textId="77777777" w:rsidR="009030E8" w:rsidRPr="00FF4D81" w:rsidRDefault="009030E8" w:rsidP="009030E8">
      <w:pPr>
        <w:pStyle w:val="ListParagraph"/>
        <w:numPr>
          <w:ilvl w:val="0"/>
          <w:numId w:val="1"/>
        </w:numPr>
        <w:tabs>
          <w:tab w:val="right" w:pos="8640"/>
        </w:tabs>
        <w:suppressAutoHyphens/>
        <w:spacing w:after="0" w:line="240" w:lineRule="auto"/>
        <w:rPr>
          <w:rFonts w:cs="Calibri"/>
          <w:b/>
          <w:sz w:val="20"/>
          <w:szCs w:val="20"/>
        </w:rPr>
      </w:pPr>
      <w:r w:rsidRPr="00FF4D81">
        <w:rPr>
          <w:rFonts w:cs="Calibri"/>
          <w:sz w:val="20"/>
          <w:szCs w:val="20"/>
        </w:rPr>
        <w:t xml:space="preserve">Raise $12 million through a mission campaign </w:t>
      </w:r>
    </w:p>
    <w:p w14:paraId="5928CE11" w14:textId="77777777" w:rsidR="009030E8" w:rsidRPr="00FF4D81" w:rsidRDefault="009030E8" w:rsidP="009030E8">
      <w:pPr>
        <w:tabs>
          <w:tab w:val="right" w:pos="8640"/>
        </w:tabs>
        <w:suppressAutoHyphens/>
        <w:spacing w:after="0" w:line="240" w:lineRule="auto"/>
        <w:rPr>
          <w:rFonts w:cs="Calibri"/>
          <w:b/>
          <w:sz w:val="20"/>
          <w:szCs w:val="20"/>
        </w:rPr>
      </w:pPr>
    </w:p>
    <w:p w14:paraId="0D763DF7" w14:textId="77777777" w:rsidR="009030E8" w:rsidRPr="00FF4D81" w:rsidRDefault="009030E8" w:rsidP="009030E8">
      <w:pPr>
        <w:tabs>
          <w:tab w:val="right" w:pos="8640"/>
        </w:tabs>
        <w:suppressAutoHyphens/>
        <w:spacing w:after="0" w:line="240" w:lineRule="auto"/>
        <w:jc w:val="center"/>
        <w:rPr>
          <w:rFonts w:cs="Calibri"/>
          <w:color w:val="1F3864" w:themeColor="accent5" w:themeShade="80"/>
          <w:sz w:val="20"/>
          <w:szCs w:val="20"/>
        </w:rPr>
      </w:pPr>
      <w:r w:rsidRPr="00FF4D81">
        <w:rPr>
          <w:rFonts w:cs="Calibri"/>
          <w:b/>
          <w:color w:val="1F3864" w:themeColor="accent5" w:themeShade="80"/>
          <w:sz w:val="20"/>
          <w:szCs w:val="20"/>
        </w:rPr>
        <w:t>Agency Ministry Alignment</w:t>
      </w:r>
    </w:p>
    <w:p w14:paraId="0C33F3C4" w14:textId="77777777" w:rsidR="009030E8" w:rsidRPr="00FF4D81" w:rsidRDefault="009030E8" w:rsidP="009030E8">
      <w:pPr>
        <w:tabs>
          <w:tab w:val="right" w:pos="8640"/>
        </w:tabs>
        <w:suppressAutoHyphens/>
        <w:spacing w:after="0" w:line="240" w:lineRule="auto"/>
        <w:rPr>
          <w:rFonts w:cs="Calibri"/>
          <w:sz w:val="20"/>
          <w:szCs w:val="20"/>
        </w:rPr>
      </w:pPr>
      <w:r w:rsidRPr="00FF4D81">
        <w:rPr>
          <w:rFonts w:cs="Calibri"/>
          <w:sz w:val="20"/>
          <w:szCs w:val="20"/>
        </w:rPr>
        <w:t>Agency ministry will align with the strategic plan and carry out the following responsibilities:</w:t>
      </w:r>
    </w:p>
    <w:p w14:paraId="401B612C" w14:textId="77777777" w:rsidR="009030E8" w:rsidRPr="00FF4D81" w:rsidRDefault="009030E8" w:rsidP="009030E8">
      <w:pPr>
        <w:pStyle w:val="ListParagraph"/>
        <w:numPr>
          <w:ilvl w:val="0"/>
          <w:numId w:val="2"/>
        </w:numPr>
        <w:tabs>
          <w:tab w:val="right" w:pos="8640"/>
        </w:tabs>
        <w:suppressAutoHyphens/>
        <w:spacing w:after="0" w:line="240" w:lineRule="auto"/>
        <w:rPr>
          <w:rFonts w:cs="Calibri"/>
          <w:sz w:val="20"/>
          <w:szCs w:val="20"/>
        </w:rPr>
      </w:pPr>
      <w:r w:rsidRPr="00FF4D81">
        <w:rPr>
          <w:rFonts w:cs="Calibri"/>
          <w:sz w:val="20"/>
          <w:szCs w:val="20"/>
        </w:rPr>
        <w:t>Research new strategies and technologies</w:t>
      </w:r>
    </w:p>
    <w:p w14:paraId="756BACF2" w14:textId="77777777" w:rsidR="009030E8" w:rsidRPr="00FF4D81" w:rsidRDefault="009030E8" w:rsidP="009030E8">
      <w:pPr>
        <w:pStyle w:val="ListParagraph"/>
        <w:numPr>
          <w:ilvl w:val="0"/>
          <w:numId w:val="2"/>
        </w:numPr>
        <w:tabs>
          <w:tab w:val="right" w:pos="8640"/>
        </w:tabs>
        <w:suppressAutoHyphens/>
        <w:spacing w:after="0" w:line="240" w:lineRule="auto"/>
        <w:rPr>
          <w:rFonts w:cs="Calibri"/>
          <w:sz w:val="20"/>
          <w:szCs w:val="20"/>
        </w:rPr>
      </w:pPr>
      <w:r w:rsidRPr="00FF4D81">
        <w:rPr>
          <w:rFonts w:cs="Calibri"/>
          <w:sz w:val="20"/>
          <w:szCs w:val="20"/>
        </w:rPr>
        <w:t>Explore and recommend workshops to develop transformational leaders, grow vitality and engage the community</w:t>
      </w:r>
    </w:p>
    <w:p w14:paraId="3ED6C98F" w14:textId="77777777" w:rsidR="009030E8" w:rsidRPr="00FF4D81" w:rsidRDefault="009030E8" w:rsidP="009030E8">
      <w:pPr>
        <w:pStyle w:val="ListParagraph"/>
        <w:numPr>
          <w:ilvl w:val="0"/>
          <w:numId w:val="2"/>
        </w:numPr>
        <w:tabs>
          <w:tab w:val="right" w:pos="8640"/>
        </w:tabs>
        <w:suppressAutoHyphens/>
        <w:spacing w:after="0" w:line="240" w:lineRule="auto"/>
        <w:rPr>
          <w:rFonts w:cs="Calibri"/>
          <w:sz w:val="20"/>
          <w:szCs w:val="20"/>
        </w:rPr>
      </w:pPr>
      <w:r w:rsidRPr="00FF4D81">
        <w:rPr>
          <w:rFonts w:cs="Calibri"/>
          <w:sz w:val="20"/>
          <w:szCs w:val="20"/>
        </w:rPr>
        <w:t xml:space="preserve">Write blogs and provide information for the GNJ website and other communication platforms to inspire, resource and focus leaders and congregations </w:t>
      </w:r>
    </w:p>
    <w:p w14:paraId="50FF4059" w14:textId="77777777" w:rsidR="009030E8" w:rsidRPr="00FF4D81" w:rsidRDefault="009030E8" w:rsidP="009030E8">
      <w:pPr>
        <w:pStyle w:val="ListParagraph"/>
        <w:numPr>
          <w:ilvl w:val="0"/>
          <w:numId w:val="2"/>
        </w:numPr>
        <w:tabs>
          <w:tab w:val="right" w:pos="8640"/>
        </w:tabs>
        <w:suppressAutoHyphens/>
        <w:spacing w:after="0" w:line="240" w:lineRule="auto"/>
        <w:rPr>
          <w:rFonts w:cs="Calibri"/>
          <w:sz w:val="20"/>
          <w:szCs w:val="20"/>
        </w:rPr>
      </w:pPr>
      <w:r w:rsidRPr="00FF4D81">
        <w:rPr>
          <w:rFonts w:cs="Calibri"/>
          <w:sz w:val="20"/>
          <w:szCs w:val="20"/>
        </w:rPr>
        <w:t>Fulfill Disciplinary mandates related to the agency</w:t>
      </w:r>
    </w:p>
    <w:p w14:paraId="6B548885" w14:textId="77777777" w:rsidR="009030E8" w:rsidRPr="00FF4D81" w:rsidRDefault="009030E8" w:rsidP="009030E8">
      <w:pPr>
        <w:tabs>
          <w:tab w:val="right" w:pos="8640"/>
        </w:tabs>
        <w:suppressAutoHyphens/>
        <w:spacing w:after="0" w:line="240" w:lineRule="auto"/>
        <w:rPr>
          <w:rFonts w:cs="Calibri"/>
          <w:b/>
          <w:sz w:val="20"/>
          <w:szCs w:val="20"/>
        </w:rPr>
      </w:pPr>
    </w:p>
    <w:p w14:paraId="25064FA1" w14:textId="77777777" w:rsidR="009030E8" w:rsidRPr="00FF4D81" w:rsidRDefault="009030E8" w:rsidP="009030E8">
      <w:pPr>
        <w:tabs>
          <w:tab w:val="right" w:pos="8640"/>
        </w:tabs>
        <w:suppressAutoHyphens/>
        <w:spacing w:after="0" w:line="240" w:lineRule="auto"/>
        <w:jc w:val="center"/>
        <w:rPr>
          <w:rFonts w:cs="Calibri"/>
          <w:b/>
          <w:color w:val="1F3864" w:themeColor="accent5" w:themeShade="80"/>
          <w:sz w:val="20"/>
          <w:szCs w:val="20"/>
        </w:rPr>
      </w:pPr>
      <w:r w:rsidRPr="00FF4D81">
        <w:rPr>
          <w:rFonts w:cs="Calibri"/>
          <w:b/>
          <w:color w:val="1F3864" w:themeColor="accent5" w:themeShade="80"/>
          <w:sz w:val="20"/>
          <w:szCs w:val="20"/>
        </w:rPr>
        <w:t>GNJ Decision Making Guidelines</w:t>
      </w:r>
    </w:p>
    <w:p w14:paraId="7E2989F5" w14:textId="77777777" w:rsidR="009030E8" w:rsidRPr="00FF4D81" w:rsidRDefault="009030E8" w:rsidP="009030E8">
      <w:pPr>
        <w:tabs>
          <w:tab w:val="right" w:pos="8640"/>
        </w:tabs>
        <w:suppressAutoHyphens/>
        <w:spacing w:after="0" w:line="240" w:lineRule="auto"/>
        <w:rPr>
          <w:rFonts w:cs="Calibri"/>
          <w:sz w:val="20"/>
          <w:szCs w:val="20"/>
        </w:rPr>
      </w:pPr>
      <w:r w:rsidRPr="00FF4D81">
        <w:rPr>
          <w:rFonts w:cs="Calibri"/>
          <w:sz w:val="20"/>
          <w:szCs w:val="20"/>
        </w:rPr>
        <w:t>We will only invest our financial and human resources in decisions that:</w:t>
      </w:r>
    </w:p>
    <w:p w14:paraId="1A9E7E3B" w14:textId="77777777" w:rsidR="009030E8" w:rsidRPr="00FF4D81" w:rsidRDefault="009030E8" w:rsidP="009030E8">
      <w:pPr>
        <w:pStyle w:val="ListParagraph"/>
        <w:numPr>
          <w:ilvl w:val="0"/>
          <w:numId w:val="3"/>
        </w:numPr>
        <w:tabs>
          <w:tab w:val="right" w:pos="8640"/>
        </w:tabs>
        <w:suppressAutoHyphens/>
        <w:spacing w:after="0" w:line="240" w:lineRule="auto"/>
        <w:rPr>
          <w:rFonts w:cs="Calibri"/>
          <w:sz w:val="20"/>
          <w:szCs w:val="20"/>
        </w:rPr>
      </w:pPr>
      <w:r w:rsidRPr="00FF4D81">
        <w:rPr>
          <w:rFonts w:cs="Calibri"/>
          <w:sz w:val="20"/>
          <w:szCs w:val="20"/>
        </w:rPr>
        <w:t>Encourage innovative (creative and risk taking) ministry that connects with people in the community</w:t>
      </w:r>
    </w:p>
    <w:p w14:paraId="4D5D6B95" w14:textId="77777777" w:rsidR="009030E8" w:rsidRPr="00FF4D81" w:rsidRDefault="009030E8" w:rsidP="009030E8">
      <w:pPr>
        <w:pStyle w:val="ListParagraph"/>
        <w:numPr>
          <w:ilvl w:val="0"/>
          <w:numId w:val="3"/>
        </w:numPr>
        <w:tabs>
          <w:tab w:val="right" w:pos="8640"/>
        </w:tabs>
        <w:suppressAutoHyphens/>
        <w:spacing w:after="0" w:line="240" w:lineRule="auto"/>
        <w:rPr>
          <w:rFonts w:cs="Calibri"/>
          <w:sz w:val="20"/>
          <w:szCs w:val="20"/>
        </w:rPr>
      </w:pPr>
      <w:r w:rsidRPr="00FF4D81">
        <w:rPr>
          <w:rFonts w:cs="Calibri"/>
          <w:sz w:val="20"/>
          <w:szCs w:val="20"/>
        </w:rPr>
        <w:t>Develop lay and clergy leadership for making disciples and transforming the world</w:t>
      </w:r>
    </w:p>
    <w:p w14:paraId="13FBE087" w14:textId="63C70998" w:rsidR="0089056C" w:rsidRPr="00C768EB" w:rsidRDefault="009030E8" w:rsidP="00C768EB">
      <w:pPr>
        <w:pStyle w:val="ListParagraph"/>
        <w:numPr>
          <w:ilvl w:val="0"/>
          <w:numId w:val="3"/>
        </w:numPr>
        <w:tabs>
          <w:tab w:val="right" w:pos="8640"/>
        </w:tabs>
        <w:suppressAutoHyphens/>
        <w:spacing w:after="0" w:line="240" w:lineRule="auto"/>
        <w:rPr>
          <w:rFonts w:cs="Calibri"/>
          <w:sz w:val="20"/>
          <w:szCs w:val="20"/>
        </w:rPr>
      </w:pPr>
      <w:r w:rsidRPr="00FF4D81">
        <w:rPr>
          <w:rFonts w:cs="Calibri"/>
          <w:sz w:val="20"/>
          <w:szCs w:val="20"/>
        </w:rPr>
        <w:t>Maximize vital congregations</w:t>
      </w:r>
      <w:r w:rsidR="0089056C">
        <w:br w:type="page"/>
      </w:r>
    </w:p>
    <w:p w14:paraId="72606055" w14:textId="280647C4" w:rsidR="009030E8" w:rsidRPr="0089056C" w:rsidRDefault="0089056C" w:rsidP="0089056C">
      <w:pPr>
        <w:spacing w:after="160" w:line="259" w:lineRule="auto"/>
        <w:rPr>
          <w:rFonts w:cs="Calibri"/>
          <w:sz w:val="20"/>
          <w:szCs w:val="20"/>
        </w:rPr>
      </w:pPr>
      <w:r w:rsidRPr="0089056C">
        <w:rPr>
          <w:rFonts w:asciiTheme="minorHAnsi" w:hAnsiTheme="minorHAnsi" w:cs="Calibri"/>
          <w:color w:val="244061"/>
          <w:sz w:val="28"/>
          <w:szCs w:val="28"/>
        </w:rPr>
        <w:lastRenderedPageBreak/>
        <w:t xml:space="preserve"> </w:t>
      </w:r>
      <w:r w:rsidR="009030E8" w:rsidRPr="0089056C">
        <w:rPr>
          <w:rFonts w:asciiTheme="minorHAnsi" w:hAnsiTheme="minorHAnsi" w:cs="Calibri"/>
          <w:color w:val="244061"/>
          <w:sz w:val="28"/>
          <w:szCs w:val="28"/>
        </w:rPr>
        <w:t xml:space="preserve">2016 Agency Goals Worksheet – </w:t>
      </w:r>
      <w:r w:rsidR="009030E8" w:rsidRPr="0089056C">
        <w:rPr>
          <w:rFonts w:asciiTheme="minorHAnsi" w:hAnsiTheme="minorHAnsi" w:cs="Calibri"/>
          <w:b/>
          <w:color w:val="244061"/>
          <w:sz w:val="28"/>
          <w:szCs w:val="28"/>
        </w:rPr>
        <w:t>Due December 15, 2015</w:t>
      </w:r>
    </w:p>
    <w:p w14:paraId="765C9B48" w14:textId="77777777" w:rsidR="009030E8" w:rsidRDefault="009030E8" w:rsidP="009030E8">
      <w:pPr>
        <w:spacing w:after="0"/>
        <w:rPr>
          <w:rFonts w:cs="Calibri"/>
          <w:sz w:val="20"/>
          <w:szCs w:val="20"/>
        </w:rPr>
      </w:pPr>
      <w:r w:rsidRPr="009030E8">
        <w:rPr>
          <w:rFonts w:cs="Calibri"/>
          <w:sz w:val="20"/>
          <w:szCs w:val="20"/>
        </w:rPr>
        <w:t xml:space="preserve">To input your information, click on the </w:t>
      </w:r>
      <w:r w:rsidRPr="009030E8">
        <w:rPr>
          <w:rFonts w:cs="Calibri"/>
          <w:i/>
          <w:sz w:val="20"/>
          <w:szCs w:val="20"/>
          <w:shd w:val="clear" w:color="auto" w:fill="D9D9D9"/>
        </w:rPr>
        <w:t>dark gray</w:t>
      </w:r>
      <w:r w:rsidRPr="009030E8">
        <w:rPr>
          <w:rFonts w:cs="Calibri"/>
          <w:sz w:val="20"/>
          <w:szCs w:val="20"/>
        </w:rPr>
        <w:t xml:space="preserve"> areas within the highlighted areas and begin typing. Please complete all gray highlighted areas.  Responses must fit in the box and space provided. The term “agency” includes all committees, councils, boards and commissions. </w:t>
      </w:r>
    </w:p>
    <w:p w14:paraId="59BE037A" w14:textId="77777777" w:rsidR="009030E8" w:rsidRPr="009030E8" w:rsidRDefault="009030E8" w:rsidP="009030E8">
      <w:pPr>
        <w:spacing w:after="0"/>
        <w:rPr>
          <w:rFonts w:cs="Calibri"/>
          <w:sz w:val="20"/>
          <w:szCs w:val="20"/>
        </w:rPr>
      </w:pPr>
    </w:p>
    <w:tbl>
      <w:tblPr>
        <w:tblW w:w="9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70"/>
        <w:gridCol w:w="1470"/>
        <w:gridCol w:w="2580"/>
      </w:tblGrid>
      <w:tr w:rsidR="009030E8" w:rsidRPr="004D1B51" w14:paraId="7CC28914" w14:textId="77777777" w:rsidTr="00302820">
        <w:trPr>
          <w:trHeight w:hRule="exact" w:val="444"/>
        </w:trPr>
        <w:tc>
          <w:tcPr>
            <w:tcW w:w="1735" w:type="dxa"/>
            <w:vAlign w:val="center"/>
          </w:tcPr>
          <w:p w14:paraId="699855EE" w14:textId="77777777" w:rsidR="009030E8" w:rsidRPr="009030E8" w:rsidRDefault="009030E8" w:rsidP="00302820">
            <w:pPr>
              <w:pStyle w:val="Heading2"/>
              <w:rPr>
                <w:rFonts w:asciiTheme="minorHAnsi" w:hAnsiTheme="minorHAnsi" w:cs="Arial"/>
                <w:sz w:val="20"/>
                <w:lang w:val="en-US" w:eastAsia="en-US"/>
              </w:rPr>
            </w:pPr>
            <w:r w:rsidRPr="009030E8">
              <w:rPr>
                <w:rFonts w:asciiTheme="minorHAnsi" w:hAnsiTheme="minorHAnsi" w:cs="Arial"/>
                <w:sz w:val="20"/>
                <w:lang w:val="en-US" w:eastAsia="en-US"/>
              </w:rPr>
              <w:t>Agency Name:</w:t>
            </w:r>
          </w:p>
        </w:tc>
        <w:tc>
          <w:tcPr>
            <w:tcW w:w="7620" w:type="dxa"/>
            <w:gridSpan w:val="3"/>
            <w:tcBorders>
              <w:bottom w:val="single" w:sz="4" w:space="0" w:color="7F7F7F"/>
            </w:tcBorders>
            <w:shd w:val="clear" w:color="auto" w:fill="D9D9D9"/>
          </w:tcPr>
          <w:p w14:paraId="142579E9" w14:textId="77777777" w:rsidR="009030E8" w:rsidRPr="004D1B51" w:rsidRDefault="009030E8" w:rsidP="00302820">
            <w:pPr>
              <w:rPr>
                <w:rFonts w:asciiTheme="minorHAnsi" w:hAnsiTheme="minorHAnsi"/>
                <w:sz w:val="18"/>
                <w:szCs w:val="18"/>
              </w:rPr>
            </w:pPr>
            <w:r w:rsidRPr="004D1B51">
              <w:rPr>
                <w:rFonts w:asciiTheme="minorHAnsi" w:hAnsiTheme="minorHAnsi"/>
                <w:sz w:val="18"/>
                <w:szCs w:val="18"/>
              </w:rPr>
              <w:fldChar w:fldCharType="begin">
                <w:ffData>
                  <w:name w:val="Text3"/>
                  <w:enabled/>
                  <w:calcOnExit w:val="0"/>
                  <w:textInput>
                    <w:maxLength w:val="40"/>
                  </w:textInput>
                </w:ffData>
              </w:fldChar>
            </w:r>
            <w:r w:rsidRPr="004D1B51">
              <w:rPr>
                <w:rFonts w:asciiTheme="minorHAnsi" w:hAnsiTheme="minorHAnsi"/>
                <w:sz w:val="18"/>
                <w:szCs w:val="18"/>
              </w:rPr>
              <w:instrText xml:space="preserve"> FORMTEXT </w:instrText>
            </w:r>
            <w:r w:rsidRPr="004D1B51">
              <w:rPr>
                <w:rFonts w:asciiTheme="minorHAnsi" w:hAnsiTheme="minorHAnsi"/>
                <w:sz w:val="18"/>
                <w:szCs w:val="18"/>
              </w:rPr>
            </w:r>
            <w:r w:rsidRPr="004D1B51">
              <w:rPr>
                <w:rFonts w:asciiTheme="minorHAnsi" w:hAnsiTheme="minorHAnsi"/>
                <w:sz w:val="18"/>
                <w:szCs w:val="18"/>
              </w:rPr>
              <w:fldChar w:fldCharType="separate"/>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sz w:val="18"/>
                <w:szCs w:val="18"/>
              </w:rPr>
              <w:fldChar w:fldCharType="end"/>
            </w:r>
          </w:p>
        </w:tc>
      </w:tr>
      <w:tr w:rsidR="009030E8" w:rsidRPr="004D1B51" w14:paraId="3A13E73E" w14:textId="77777777" w:rsidTr="009030E8">
        <w:trPr>
          <w:trHeight w:hRule="exact" w:val="426"/>
        </w:trPr>
        <w:tc>
          <w:tcPr>
            <w:tcW w:w="1735" w:type="dxa"/>
            <w:vAlign w:val="center"/>
          </w:tcPr>
          <w:p w14:paraId="4E11AF43" w14:textId="77777777" w:rsidR="009030E8" w:rsidRPr="009030E8" w:rsidRDefault="009030E8" w:rsidP="00302820">
            <w:pPr>
              <w:pStyle w:val="Heading2"/>
              <w:rPr>
                <w:rFonts w:asciiTheme="minorHAnsi" w:hAnsiTheme="minorHAnsi" w:cs="Arial"/>
                <w:sz w:val="20"/>
                <w:lang w:val="en-US" w:eastAsia="en-US"/>
              </w:rPr>
            </w:pPr>
            <w:r w:rsidRPr="009030E8">
              <w:rPr>
                <w:rFonts w:asciiTheme="minorHAnsi" w:hAnsiTheme="minorHAnsi" w:cs="Arial"/>
                <w:sz w:val="20"/>
                <w:lang w:val="en-US" w:eastAsia="en-US"/>
              </w:rPr>
              <w:t>Chair Name:</w:t>
            </w:r>
          </w:p>
        </w:tc>
        <w:tc>
          <w:tcPr>
            <w:tcW w:w="3570" w:type="dxa"/>
            <w:shd w:val="clear" w:color="auto" w:fill="D9D9D9"/>
          </w:tcPr>
          <w:p w14:paraId="177D85DE" w14:textId="77777777" w:rsidR="009030E8" w:rsidRPr="004D1B51" w:rsidRDefault="009030E8" w:rsidP="00302820">
            <w:pPr>
              <w:rPr>
                <w:rFonts w:asciiTheme="minorHAnsi" w:hAnsiTheme="minorHAnsi"/>
                <w:sz w:val="18"/>
                <w:szCs w:val="18"/>
              </w:rPr>
            </w:pPr>
            <w:r w:rsidRPr="004D1B51">
              <w:rPr>
                <w:rFonts w:asciiTheme="minorHAnsi" w:hAnsiTheme="minorHAnsi"/>
                <w:sz w:val="18"/>
                <w:szCs w:val="18"/>
              </w:rPr>
              <w:fldChar w:fldCharType="begin">
                <w:ffData>
                  <w:name w:val="Text3"/>
                  <w:enabled/>
                  <w:calcOnExit w:val="0"/>
                  <w:textInput>
                    <w:maxLength w:val="40"/>
                  </w:textInput>
                </w:ffData>
              </w:fldChar>
            </w:r>
            <w:bookmarkStart w:id="1" w:name="Text3"/>
            <w:r w:rsidRPr="004D1B51">
              <w:rPr>
                <w:rFonts w:asciiTheme="minorHAnsi" w:hAnsiTheme="minorHAnsi"/>
                <w:sz w:val="18"/>
                <w:szCs w:val="18"/>
              </w:rPr>
              <w:instrText xml:space="preserve"> FORMTEXT </w:instrText>
            </w:r>
            <w:r w:rsidRPr="004D1B51">
              <w:rPr>
                <w:rFonts w:asciiTheme="minorHAnsi" w:hAnsiTheme="minorHAnsi"/>
                <w:sz w:val="18"/>
                <w:szCs w:val="18"/>
              </w:rPr>
            </w:r>
            <w:r w:rsidRPr="004D1B51">
              <w:rPr>
                <w:rFonts w:asciiTheme="minorHAnsi" w:hAnsiTheme="minorHAnsi"/>
                <w:sz w:val="18"/>
                <w:szCs w:val="18"/>
              </w:rPr>
              <w:fldChar w:fldCharType="separate"/>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sz w:val="18"/>
                <w:szCs w:val="18"/>
              </w:rPr>
              <w:fldChar w:fldCharType="end"/>
            </w:r>
            <w:bookmarkEnd w:id="1"/>
          </w:p>
        </w:tc>
        <w:tc>
          <w:tcPr>
            <w:tcW w:w="1470" w:type="dxa"/>
            <w:vAlign w:val="center"/>
          </w:tcPr>
          <w:p w14:paraId="45855809" w14:textId="77777777" w:rsidR="009030E8" w:rsidRPr="009030E8" w:rsidRDefault="009030E8" w:rsidP="00302820">
            <w:pPr>
              <w:rPr>
                <w:rFonts w:asciiTheme="minorHAnsi" w:hAnsiTheme="minorHAnsi"/>
                <w:b/>
                <w:sz w:val="20"/>
                <w:szCs w:val="20"/>
              </w:rPr>
            </w:pPr>
            <w:r w:rsidRPr="009030E8">
              <w:rPr>
                <w:rFonts w:asciiTheme="minorHAnsi" w:hAnsiTheme="minorHAnsi"/>
                <w:b/>
                <w:sz w:val="20"/>
                <w:szCs w:val="20"/>
              </w:rPr>
              <w:t xml:space="preserve">Email: </w:t>
            </w:r>
          </w:p>
        </w:tc>
        <w:tc>
          <w:tcPr>
            <w:tcW w:w="2580" w:type="dxa"/>
            <w:shd w:val="clear" w:color="auto" w:fill="D9D9D9"/>
            <w:vAlign w:val="center"/>
          </w:tcPr>
          <w:p w14:paraId="278F2890" w14:textId="77777777" w:rsidR="009030E8" w:rsidRPr="004D1B51" w:rsidRDefault="009030E8" w:rsidP="00302820">
            <w:pPr>
              <w:rPr>
                <w:rFonts w:asciiTheme="minorHAnsi" w:hAnsiTheme="minorHAnsi"/>
                <w:sz w:val="18"/>
                <w:szCs w:val="18"/>
              </w:rPr>
            </w:pPr>
            <w:r w:rsidRPr="004D1B51">
              <w:rPr>
                <w:rFonts w:asciiTheme="minorHAnsi" w:hAnsiTheme="minorHAnsi"/>
                <w:sz w:val="18"/>
                <w:szCs w:val="18"/>
              </w:rPr>
              <w:fldChar w:fldCharType="begin">
                <w:ffData>
                  <w:name w:val="Text2"/>
                  <w:enabled/>
                  <w:calcOnExit w:val="0"/>
                  <w:textInput>
                    <w:maxLength w:val="80"/>
                  </w:textInput>
                </w:ffData>
              </w:fldChar>
            </w:r>
            <w:r w:rsidRPr="004D1B51">
              <w:rPr>
                <w:rFonts w:asciiTheme="minorHAnsi" w:hAnsiTheme="minorHAnsi"/>
                <w:sz w:val="18"/>
                <w:szCs w:val="18"/>
              </w:rPr>
              <w:instrText xml:space="preserve"> FORMTEXT </w:instrText>
            </w:r>
            <w:r w:rsidRPr="004D1B51">
              <w:rPr>
                <w:rFonts w:asciiTheme="minorHAnsi" w:hAnsiTheme="minorHAnsi"/>
                <w:sz w:val="18"/>
                <w:szCs w:val="18"/>
              </w:rPr>
            </w:r>
            <w:r w:rsidRPr="004D1B51">
              <w:rPr>
                <w:rFonts w:asciiTheme="minorHAnsi" w:hAnsiTheme="minorHAnsi"/>
                <w:sz w:val="18"/>
                <w:szCs w:val="18"/>
              </w:rPr>
              <w:fldChar w:fldCharType="separate"/>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noProof/>
                <w:sz w:val="18"/>
                <w:szCs w:val="18"/>
              </w:rPr>
              <w:t> </w:t>
            </w:r>
            <w:r w:rsidRPr="004D1B51">
              <w:rPr>
                <w:rFonts w:asciiTheme="minorHAnsi" w:hAnsiTheme="minorHAnsi"/>
                <w:sz w:val="18"/>
                <w:szCs w:val="18"/>
              </w:rPr>
              <w:fldChar w:fldCharType="end"/>
            </w:r>
          </w:p>
        </w:tc>
      </w:tr>
      <w:tr w:rsidR="009030E8" w14:paraId="5D984C40" w14:textId="77777777" w:rsidTr="009030E8">
        <w:trPr>
          <w:trHeight w:hRule="exact" w:val="498"/>
        </w:trPr>
        <w:tc>
          <w:tcPr>
            <w:tcW w:w="9355"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289B0194" w14:textId="77777777" w:rsidR="009030E8" w:rsidRPr="009030E8" w:rsidRDefault="009030E8" w:rsidP="00302820">
            <w:pPr>
              <w:tabs>
                <w:tab w:val="right" w:pos="8640"/>
              </w:tabs>
              <w:suppressAutoHyphens/>
              <w:spacing w:after="0" w:line="240" w:lineRule="auto"/>
              <w:ind w:hanging="30"/>
              <w:rPr>
                <w:rFonts w:cs="Arial"/>
                <w:b/>
                <w:sz w:val="20"/>
                <w:szCs w:val="20"/>
              </w:rPr>
            </w:pPr>
            <w:r w:rsidRPr="009030E8">
              <w:rPr>
                <w:rFonts w:cs="Arial"/>
                <w:b/>
                <w:sz w:val="20"/>
                <w:szCs w:val="20"/>
              </w:rPr>
              <w:t>List the names of the agency members that collaborated in setting goals for the year 2016</w:t>
            </w:r>
          </w:p>
        </w:tc>
      </w:tr>
      <w:tr w:rsidR="009030E8" w14:paraId="6C028B1B" w14:textId="77777777" w:rsidTr="00FF3C67">
        <w:trPr>
          <w:trHeight w:hRule="exact" w:val="777"/>
        </w:trPr>
        <w:tc>
          <w:tcPr>
            <w:tcW w:w="9355"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36B22A03" w14:textId="5DEE210B" w:rsidR="009030E8" w:rsidRDefault="00FF3C67" w:rsidP="00302820">
            <w:pPr>
              <w:tabs>
                <w:tab w:val="right" w:pos="8640"/>
              </w:tabs>
              <w:suppressAutoHyphens/>
              <w:spacing w:after="0" w:line="240" w:lineRule="auto"/>
              <w:ind w:hanging="30"/>
              <w:rPr>
                <w:rFonts w:cs="Arial"/>
                <w:b/>
                <w:sz w:val="20"/>
                <w:szCs w:val="20"/>
              </w:rPr>
            </w:pP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bl>
    <w:p w14:paraId="389F78BB" w14:textId="77777777" w:rsidR="009030E8" w:rsidRDefault="009030E8" w:rsidP="009030E8">
      <w:pPr>
        <w:rPr>
          <w:rFonts w:asciiTheme="minorHAnsi" w:hAnsiTheme="minorHAnsi"/>
          <w:i/>
          <w:sz w:val="18"/>
          <w:szCs w:val="18"/>
        </w:rPr>
      </w:pPr>
    </w:p>
    <w:tbl>
      <w:tblPr>
        <w:tblW w:w="9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5"/>
      </w:tblGrid>
      <w:tr w:rsidR="009030E8" w:rsidRPr="00306BB9" w14:paraId="3FDCDBC7" w14:textId="77777777" w:rsidTr="00302820">
        <w:trPr>
          <w:trHeight w:hRule="exact" w:val="498"/>
        </w:trPr>
        <w:tc>
          <w:tcPr>
            <w:tcW w:w="9355" w:type="dxa"/>
            <w:tcBorders>
              <w:bottom w:val="single" w:sz="4" w:space="0" w:color="7F7F7F"/>
            </w:tcBorders>
            <w:shd w:val="clear" w:color="auto" w:fill="FFFFFF"/>
          </w:tcPr>
          <w:p w14:paraId="58E76364" w14:textId="7174E20A" w:rsidR="009030E8" w:rsidRPr="009030E8" w:rsidRDefault="009030E8" w:rsidP="00302820">
            <w:pPr>
              <w:shd w:val="clear" w:color="auto" w:fill="FFFFFF"/>
              <w:tabs>
                <w:tab w:val="right" w:pos="3600"/>
                <w:tab w:val="right" w:pos="5040"/>
                <w:tab w:val="right" w:pos="6480"/>
                <w:tab w:val="right" w:pos="7920"/>
                <w:tab w:val="right" w:pos="9180"/>
              </w:tabs>
              <w:suppressAutoHyphens/>
              <w:spacing w:after="0" w:line="240" w:lineRule="auto"/>
              <w:rPr>
                <w:b/>
                <w:sz w:val="20"/>
                <w:szCs w:val="20"/>
              </w:rPr>
            </w:pPr>
            <w:r w:rsidRPr="009030E8">
              <w:rPr>
                <w:rFonts w:cs="Calibri"/>
                <w:b/>
                <w:sz w:val="20"/>
                <w:szCs w:val="20"/>
              </w:rPr>
              <w:t>In one or two sentences, describe how the work of your agency aligns wit</w:t>
            </w:r>
            <w:r>
              <w:rPr>
                <w:rFonts w:cs="Calibri"/>
                <w:b/>
                <w:sz w:val="20"/>
                <w:szCs w:val="20"/>
              </w:rPr>
              <w:t xml:space="preserve">h GNJ </w:t>
            </w:r>
            <w:r w:rsidR="00170B4E">
              <w:rPr>
                <w:rFonts w:cs="Calibri"/>
                <w:b/>
                <w:sz w:val="20"/>
                <w:szCs w:val="20"/>
              </w:rPr>
              <w:t>mission and strategic plan</w:t>
            </w:r>
          </w:p>
        </w:tc>
      </w:tr>
      <w:tr w:rsidR="009030E8" w:rsidRPr="00306BB9" w14:paraId="67620B50" w14:textId="77777777" w:rsidTr="00637FDD">
        <w:trPr>
          <w:trHeight w:val="1455"/>
        </w:trPr>
        <w:tc>
          <w:tcPr>
            <w:tcW w:w="9355" w:type="dxa"/>
            <w:shd w:val="clear" w:color="auto" w:fill="D9D9D9"/>
          </w:tcPr>
          <w:p w14:paraId="16E84314" w14:textId="77777777" w:rsidR="009030E8" w:rsidRPr="00306BB9" w:rsidRDefault="009030E8" w:rsidP="00302820">
            <w:pPr>
              <w:rPr>
                <w:sz w:val="20"/>
                <w:szCs w:val="20"/>
              </w:rPr>
            </w:pP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9030E8" w:rsidRPr="00E7104D" w14:paraId="698828C1" w14:textId="77777777" w:rsidTr="009030E8">
        <w:trPr>
          <w:trHeight w:hRule="exact" w:val="588"/>
        </w:trPr>
        <w:tc>
          <w:tcPr>
            <w:tcW w:w="9355" w:type="dxa"/>
            <w:tcBorders>
              <w:bottom w:val="single" w:sz="4" w:space="0" w:color="7F7F7F"/>
            </w:tcBorders>
            <w:shd w:val="clear" w:color="auto" w:fill="FFFFFF"/>
          </w:tcPr>
          <w:p w14:paraId="3758ECFB" w14:textId="28902A91" w:rsidR="009030E8" w:rsidRPr="009030E8" w:rsidRDefault="009030E8" w:rsidP="00170B4E">
            <w:pPr>
              <w:shd w:val="clear" w:color="auto" w:fill="FFFFFF"/>
              <w:tabs>
                <w:tab w:val="right" w:pos="3600"/>
                <w:tab w:val="right" w:pos="5040"/>
                <w:tab w:val="right" w:pos="6480"/>
                <w:tab w:val="right" w:pos="7920"/>
                <w:tab w:val="right" w:pos="9180"/>
              </w:tabs>
              <w:suppressAutoHyphens/>
              <w:spacing w:after="0" w:line="240" w:lineRule="auto"/>
              <w:rPr>
                <w:b/>
                <w:sz w:val="20"/>
                <w:szCs w:val="20"/>
              </w:rPr>
            </w:pPr>
            <w:r w:rsidRPr="009030E8">
              <w:rPr>
                <w:rFonts w:cs="Calibri"/>
                <w:b/>
                <w:sz w:val="20"/>
                <w:szCs w:val="20"/>
              </w:rPr>
              <w:t xml:space="preserve">List two measurable goals for your agency for the year 2016. </w:t>
            </w:r>
            <w:r w:rsidR="00637FDD">
              <w:rPr>
                <w:rFonts w:cs="Calibri"/>
                <w:b/>
                <w:sz w:val="20"/>
                <w:szCs w:val="20"/>
              </w:rPr>
              <w:t>M</w:t>
            </w:r>
            <w:r w:rsidRPr="009030E8">
              <w:rPr>
                <w:rFonts w:cs="Calibri"/>
                <w:b/>
                <w:sz w:val="20"/>
                <w:szCs w:val="20"/>
              </w:rPr>
              <w:t xml:space="preserve">ake sure you specify </w:t>
            </w:r>
            <w:r>
              <w:rPr>
                <w:rFonts w:cs="Calibri"/>
                <w:b/>
                <w:sz w:val="20"/>
                <w:szCs w:val="20"/>
              </w:rPr>
              <w:t>h</w:t>
            </w:r>
            <w:r w:rsidRPr="009030E8">
              <w:rPr>
                <w:rFonts w:cs="Calibri"/>
                <w:b/>
                <w:sz w:val="20"/>
                <w:szCs w:val="20"/>
              </w:rPr>
              <w:t xml:space="preserve">ow </w:t>
            </w:r>
            <w:r w:rsidR="0089056C">
              <w:rPr>
                <w:rFonts w:cs="Calibri"/>
                <w:b/>
                <w:sz w:val="20"/>
                <w:szCs w:val="20"/>
              </w:rPr>
              <w:t xml:space="preserve">the goals </w:t>
            </w:r>
            <w:r w:rsidR="00170B4E">
              <w:rPr>
                <w:rFonts w:cs="Calibri"/>
                <w:b/>
                <w:sz w:val="20"/>
                <w:szCs w:val="20"/>
              </w:rPr>
              <w:t>support</w:t>
            </w:r>
            <w:r w:rsidR="00637FDD">
              <w:rPr>
                <w:rFonts w:cs="Calibri"/>
                <w:b/>
                <w:sz w:val="20"/>
                <w:szCs w:val="20"/>
              </w:rPr>
              <w:t xml:space="preserve"> strategic plan and how </w:t>
            </w:r>
            <w:r w:rsidRPr="009030E8">
              <w:rPr>
                <w:rFonts w:cs="Calibri"/>
                <w:b/>
                <w:sz w:val="20"/>
                <w:szCs w:val="20"/>
              </w:rPr>
              <w:t xml:space="preserve">you will evaluate the progress/success for each goal. </w:t>
            </w:r>
          </w:p>
        </w:tc>
      </w:tr>
      <w:tr w:rsidR="009030E8" w:rsidRPr="00306BB9" w14:paraId="6B3B5F90" w14:textId="77777777" w:rsidTr="00637FDD">
        <w:trPr>
          <w:trHeight w:val="2463"/>
        </w:trPr>
        <w:tc>
          <w:tcPr>
            <w:tcW w:w="9355" w:type="dxa"/>
            <w:shd w:val="clear" w:color="auto" w:fill="D9D9D9"/>
          </w:tcPr>
          <w:p w14:paraId="27907092" w14:textId="77777777" w:rsidR="009030E8" w:rsidRPr="00306BB9" w:rsidRDefault="009030E8" w:rsidP="00302820">
            <w:pPr>
              <w:rPr>
                <w:sz w:val="20"/>
                <w:szCs w:val="20"/>
              </w:rPr>
            </w:pPr>
            <w:r>
              <w:rPr>
                <w:rFonts w:cs="Arial"/>
                <w:b/>
                <w:sz w:val="20"/>
              </w:rPr>
              <w:t xml:space="preserve">Goal 1: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9030E8" w:rsidRPr="00306BB9" w14:paraId="7CBA1F1E" w14:textId="77777777" w:rsidTr="00637FDD">
        <w:trPr>
          <w:trHeight w:val="2454"/>
        </w:trPr>
        <w:tc>
          <w:tcPr>
            <w:tcW w:w="9355" w:type="dxa"/>
            <w:shd w:val="clear" w:color="auto" w:fill="D9D9D9"/>
          </w:tcPr>
          <w:p w14:paraId="5FCDFEF0" w14:textId="77777777" w:rsidR="009030E8" w:rsidRDefault="009030E8" w:rsidP="00302820">
            <w:pPr>
              <w:rPr>
                <w:rFonts w:cs="Arial"/>
                <w:b/>
                <w:sz w:val="20"/>
              </w:rPr>
            </w:pPr>
            <w:r>
              <w:rPr>
                <w:rFonts w:cs="Arial"/>
                <w:b/>
                <w:sz w:val="20"/>
              </w:rPr>
              <w:t xml:space="preserve">Goal 2: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bl>
    <w:p w14:paraId="0B48AB40" w14:textId="77777777" w:rsidR="009030E8" w:rsidRDefault="009030E8" w:rsidP="009030E8">
      <w:pPr>
        <w:rPr>
          <w:rFonts w:asciiTheme="minorHAnsi" w:hAnsiTheme="minorHAnsi"/>
          <w:sz w:val="20"/>
          <w:szCs w:val="20"/>
        </w:rPr>
      </w:pPr>
    </w:p>
    <w:p w14:paraId="7DDE78B5" w14:textId="77777777" w:rsidR="009030E8" w:rsidRPr="009030E8" w:rsidRDefault="009030E8" w:rsidP="009030E8">
      <w:pPr>
        <w:suppressAutoHyphens/>
        <w:spacing w:after="0" w:line="240" w:lineRule="auto"/>
        <w:jc w:val="both"/>
        <w:rPr>
          <w:rFonts w:cs="Calibri"/>
        </w:rPr>
      </w:pPr>
      <w:r w:rsidRPr="009030E8">
        <w:rPr>
          <w:rFonts w:cs="Calibri"/>
        </w:rPr>
        <w:t xml:space="preserve">This worksheet must be submitted electronically in Microsoft Word format to Ginny Kaiser at </w:t>
      </w:r>
      <w:hyperlink r:id="rId9" w:history="1">
        <w:r w:rsidRPr="009030E8">
          <w:rPr>
            <w:rStyle w:val="Hyperlink"/>
            <w:rFonts w:cs="Calibri"/>
          </w:rPr>
          <w:t>GKaiser@gnjumc.org</w:t>
        </w:r>
      </w:hyperlink>
      <w:r w:rsidRPr="009030E8">
        <w:rPr>
          <w:rFonts w:cs="Calibri"/>
        </w:rPr>
        <w:t xml:space="preserve"> by </w:t>
      </w:r>
      <w:r w:rsidRPr="009030E8">
        <w:rPr>
          <w:rFonts w:cs="Calibri"/>
          <w:b/>
        </w:rPr>
        <w:t>December 15, 2015</w:t>
      </w:r>
      <w:r>
        <w:rPr>
          <w:rFonts w:cs="Calibri"/>
          <w:b/>
        </w:rPr>
        <w:t>.</w:t>
      </w:r>
    </w:p>
    <w:p w14:paraId="5AC9BC60" w14:textId="77777777" w:rsidR="00CA13D2" w:rsidRPr="009030E8" w:rsidRDefault="00CA13D2" w:rsidP="009030E8"/>
    <w:sectPr w:rsidR="00CA13D2" w:rsidRPr="009030E8" w:rsidSect="00C63D9D">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C1D2D" w14:textId="77777777" w:rsidR="00BD221D" w:rsidRDefault="00FF3C67">
      <w:pPr>
        <w:spacing w:after="0" w:line="240" w:lineRule="auto"/>
      </w:pPr>
      <w:r>
        <w:separator/>
      </w:r>
    </w:p>
  </w:endnote>
  <w:endnote w:type="continuationSeparator" w:id="0">
    <w:p w14:paraId="26BCD6F1" w14:textId="77777777" w:rsidR="00BD221D" w:rsidRDefault="00FF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5C66" w14:textId="77777777" w:rsidR="004302CA" w:rsidRDefault="00637FDD" w:rsidP="00B9157C">
    <w:pPr>
      <w:pStyle w:val="Footer"/>
      <w:jc w:val="right"/>
    </w:pPr>
    <w:r>
      <w:t xml:space="preserve">GNJ Agency Goals Worksheet |Page </w:t>
    </w:r>
    <w:r>
      <w:fldChar w:fldCharType="begin"/>
    </w:r>
    <w:r>
      <w:instrText xml:space="preserve"> PAGE   \* MERGEFORMAT </w:instrText>
    </w:r>
    <w:r>
      <w:fldChar w:fldCharType="separate"/>
    </w:r>
    <w:r w:rsidR="00FF4D81">
      <w:rPr>
        <w:noProof/>
      </w:rPr>
      <w:t>2</w:t>
    </w:r>
    <w:r>
      <w:rPr>
        <w:noProof/>
      </w:rPr>
      <w:fldChar w:fldCharType="end"/>
    </w:r>
    <w:r>
      <w:rPr>
        <w:noProof/>
      </w:rPr>
      <w:t xml:space="preserve"> </w:t>
    </w:r>
  </w:p>
  <w:p w14:paraId="29C67858" w14:textId="77777777" w:rsidR="004302CA" w:rsidRDefault="00FF4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D8AB4" w14:textId="77777777" w:rsidR="00BD221D" w:rsidRDefault="00FF3C67">
      <w:pPr>
        <w:spacing w:after="0" w:line="240" w:lineRule="auto"/>
      </w:pPr>
      <w:r>
        <w:separator/>
      </w:r>
    </w:p>
  </w:footnote>
  <w:footnote w:type="continuationSeparator" w:id="0">
    <w:p w14:paraId="140C72DD" w14:textId="77777777" w:rsidR="00BD221D" w:rsidRDefault="00FF3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0F31"/>
    <w:multiLevelType w:val="hybridMultilevel"/>
    <w:tmpl w:val="DA6A93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55408"/>
    <w:multiLevelType w:val="hybridMultilevel"/>
    <w:tmpl w:val="9150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C5AF9"/>
    <w:multiLevelType w:val="hybridMultilevel"/>
    <w:tmpl w:val="BDAE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E8"/>
    <w:rsid w:val="00170B4E"/>
    <w:rsid w:val="00637FDD"/>
    <w:rsid w:val="0089056C"/>
    <w:rsid w:val="009030E8"/>
    <w:rsid w:val="00BD221D"/>
    <w:rsid w:val="00C768EB"/>
    <w:rsid w:val="00CA13D2"/>
    <w:rsid w:val="00FF3C67"/>
    <w:rsid w:val="00F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E097"/>
  <w15:chartTrackingRefBased/>
  <w15:docId w15:val="{EEEBDDB3-5349-4C32-BD14-10D22E12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E8"/>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9030E8"/>
    <w:pPr>
      <w:spacing w:after="0" w:line="240" w:lineRule="auto"/>
      <w:outlineLvl w:val="1"/>
    </w:pPr>
    <w:rPr>
      <w:rFonts w:ascii="Cambria" w:eastAsia="Times New Roman" w:hAnsi="Cambria"/>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30E8"/>
    <w:rPr>
      <w:rFonts w:ascii="Cambria" w:eastAsia="Times New Roman" w:hAnsi="Cambria" w:cs="Times New Roman"/>
      <w:b/>
      <w:sz w:val="18"/>
      <w:szCs w:val="20"/>
      <w:lang w:val="x-none" w:eastAsia="x-none"/>
    </w:rPr>
  </w:style>
  <w:style w:type="character" w:styleId="Hyperlink">
    <w:name w:val="Hyperlink"/>
    <w:uiPriority w:val="99"/>
    <w:unhideWhenUsed/>
    <w:rsid w:val="009030E8"/>
    <w:rPr>
      <w:color w:val="0000FF"/>
      <w:u w:val="single"/>
    </w:rPr>
  </w:style>
  <w:style w:type="paragraph" w:styleId="Footer">
    <w:name w:val="footer"/>
    <w:basedOn w:val="Normal"/>
    <w:link w:val="FooterChar"/>
    <w:uiPriority w:val="99"/>
    <w:unhideWhenUsed/>
    <w:rsid w:val="0090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E8"/>
    <w:rPr>
      <w:rFonts w:ascii="Calibri" w:eastAsia="Calibri" w:hAnsi="Calibri" w:cs="Times New Roman"/>
    </w:rPr>
  </w:style>
  <w:style w:type="paragraph" w:styleId="ListParagraph">
    <w:name w:val="List Paragraph"/>
    <w:basedOn w:val="Normal"/>
    <w:uiPriority w:val="72"/>
    <w:qFormat/>
    <w:rsid w:val="0090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aiser@gnj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C4629-2A4C-4223-B008-1D655720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Burgos</dc:creator>
  <cp:keywords/>
  <dc:description/>
  <cp:lastModifiedBy>Hector Burgos</cp:lastModifiedBy>
  <cp:revision>6</cp:revision>
  <dcterms:created xsi:type="dcterms:W3CDTF">2015-11-02T19:17:00Z</dcterms:created>
  <dcterms:modified xsi:type="dcterms:W3CDTF">2015-11-10T16:52:00Z</dcterms:modified>
</cp:coreProperties>
</file>